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b/>
          <w:b/>
          <w:sz w:val="52"/>
        </w:rPr>
      </w:pPr>
      <w:r>
        <w:rPr>
          <w:rFonts w:cs="Times New Roman" w:ascii="Times New Roman" w:hAnsi="Times New Roman"/>
        </w:rPr>
        <w:t xml:space="preserve"> </w:t>
      </w:r>
      <w:r>
        <w:rPr>
          <w:b/>
          <w:sz w:val="52"/>
        </w:rPr>
        <w:t>FINANCIJSKI PLAN ZA UDRUGU BURA BUDUĆNOSTI SENJ ZA</w:t>
      </w:r>
    </w:p>
    <w:p>
      <w:pPr>
        <w:pStyle w:val="Normal"/>
        <w:jc w:val="center"/>
        <w:rPr>
          <w:b/>
          <w:b/>
          <w:sz w:val="52"/>
        </w:rPr>
      </w:pPr>
      <w:r>
        <w:rPr>
          <w:b/>
          <w:sz w:val="52"/>
        </w:rPr>
        <w:t xml:space="preserve"> </w:t>
      </w:r>
      <w:r>
        <w:rPr>
          <w:b/>
          <w:sz w:val="52"/>
        </w:rPr>
        <w:t>2026. GODINU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10. prosinca 2025. godine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632" w:type="dxa"/>
        <w:jc w:val="left"/>
        <w:tblInd w:w="-8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04"/>
        <w:gridCol w:w="5774"/>
        <w:gridCol w:w="1512"/>
        <w:gridCol w:w="1241"/>
      </w:tblGrid>
      <w:tr>
        <w:trPr>
          <w:trHeight w:val="520" w:hRule="exact"/>
        </w:trPr>
        <w:tc>
          <w:tcPr>
            <w:tcW w:w="10631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r>
          </w:p>
        </w:tc>
      </w:tr>
      <w:tr>
        <w:trPr>
          <w:trHeight w:val="315" w:hRule="atLeast"/>
        </w:trPr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r>
          </w:p>
        </w:tc>
        <w:tc>
          <w:tcPr>
            <w:tcW w:w="57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4472C4" w:themeColor="accent1"/>
                <w:sz w:val="28"/>
                <w:szCs w:val="20"/>
                <w:lang w:val="en-GB" w:eastAsia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="Times New Roman" w:cs="Times New Roman" w:ascii="Times New Roman" w:hAnsi="Times New Roman"/>
                <w:color w:val="4472C4" w:themeColor="accent1"/>
                <w:sz w:val="28"/>
                <w:szCs w:val="20"/>
                <w:lang w:val="en-GB" w:eastAsia="en-GB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FINANCIJSKI PLAN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r>
          </w:p>
        </w:tc>
        <w:tc>
          <w:tcPr>
            <w:tcW w:w="15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r>
          </w:p>
        </w:tc>
        <w:tc>
          <w:tcPr>
            <w:tcW w:w="124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r>
          </w:p>
        </w:tc>
      </w:tr>
      <w:tr>
        <w:trPr>
          <w:trHeight w:val="343" w:hRule="atLeast"/>
        </w:trPr>
        <w:tc>
          <w:tcPr>
            <w:tcW w:w="2104" w:type="dxa"/>
            <w:tcBorders>
              <w:top w:val="double" w:sz="6" w:space="0" w:color="000000"/>
              <w:left w:val="double" w:sz="6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KONTO</w:t>
            </w:r>
          </w:p>
        </w:tc>
        <w:tc>
          <w:tcPr>
            <w:tcW w:w="5774" w:type="dxa"/>
            <w:vMerge w:val="restart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OPIS</w:t>
            </w:r>
          </w:p>
        </w:tc>
        <w:tc>
          <w:tcPr>
            <w:tcW w:w="2753" w:type="dxa"/>
            <w:gridSpan w:val="2"/>
            <w:tcBorders>
              <w:top w:val="double" w:sz="6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UKUPNO</w:t>
            </w:r>
          </w:p>
        </w:tc>
      </w:tr>
      <w:tr>
        <w:trPr>
          <w:trHeight w:val="425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SKUPINE</w:t>
            </w:r>
          </w:p>
        </w:tc>
        <w:tc>
          <w:tcPr>
            <w:tcW w:w="5774" w:type="dxa"/>
            <w:vMerge w:val="continue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2025.</w:t>
            </w:r>
          </w:p>
        </w:tc>
        <w:tc>
          <w:tcPr>
            <w:tcW w:w="1241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PLAN 2026.</w:t>
            </w:r>
          </w:p>
        </w:tc>
      </w:tr>
      <w:tr>
        <w:trPr>
          <w:trHeight w:val="273" w:hRule="atLeast"/>
        </w:trPr>
        <w:tc>
          <w:tcPr>
            <w:tcW w:w="2104" w:type="dxa"/>
            <w:tcBorders>
              <w:lef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57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15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procjena</w:t>
            </w:r>
          </w:p>
        </w:tc>
        <w:tc>
          <w:tcPr>
            <w:tcW w:w="1241" w:type="dxa"/>
            <w:tcBorders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</w:tr>
      <w:tr>
        <w:trPr>
          <w:trHeight w:val="383" w:hRule="atLeast"/>
        </w:trPr>
        <w:tc>
          <w:tcPr>
            <w:tcW w:w="2104" w:type="dxa"/>
            <w:tcBorders>
              <w:lef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I.</w:t>
            </w:r>
          </w:p>
        </w:tc>
        <w:tc>
          <w:tcPr>
            <w:tcW w:w="8527" w:type="dxa"/>
            <w:gridSpan w:val="3"/>
            <w:tcBorders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PRIHODI</w:t>
            </w:r>
          </w:p>
        </w:tc>
      </w:tr>
      <w:tr>
        <w:trPr>
          <w:trHeight w:val="233" w:hRule="exact"/>
        </w:trPr>
        <w:tc>
          <w:tcPr>
            <w:tcW w:w="2104" w:type="dxa"/>
            <w:tcBorders>
              <w:lef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57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r>
          </w:p>
        </w:tc>
        <w:tc>
          <w:tcPr>
            <w:tcW w:w="15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r>
          </w:p>
        </w:tc>
        <w:tc>
          <w:tcPr>
            <w:tcW w:w="1241" w:type="dxa"/>
            <w:tcBorders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</w:tr>
      <w:tr>
        <w:trPr>
          <w:trHeight w:val="60" w:hRule="atLeast"/>
        </w:trPr>
        <w:tc>
          <w:tcPr>
            <w:tcW w:w="10631" w:type="dxa"/>
            <w:gridSpan w:val="4"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 xml:space="preserve">                 </w:t>
            </w: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I. a) Prihodi od osnovne djelatnosti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1. Prihodi od članarina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2. Prihodi od financijske imovine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3. Prihodi od donacija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16.591,00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120.000,00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36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4. Ostali prihodi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5. Prihodi od povezanih neprofitnih organizacija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7878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Ukupno osnovna djelatnost: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16.591,00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120.000,00</w:t>
            </w:r>
          </w:p>
        </w:tc>
      </w:tr>
      <w:tr>
        <w:trPr>
          <w:trHeight w:val="301" w:hRule="exact"/>
        </w:trPr>
        <w:tc>
          <w:tcPr>
            <w:tcW w:w="2104" w:type="dxa"/>
            <w:tcBorders>
              <w:lef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57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15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1241" w:type="dxa"/>
            <w:tcBorders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</w:tr>
      <w:tr>
        <w:trPr>
          <w:trHeight w:val="383" w:hRule="atLeast"/>
        </w:trPr>
        <w:tc>
          <w:tcPr>
            <w:tcW w:w="10631" w:type="dxa"/>
            <w:gridSpan w:val="4"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 xml:space="preserve">                 </w:t>
            </w: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I. b) Prihodi od gospodarske djelatnosti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1. Prihodi od prodaje robe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31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2. Prihodi od usluga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34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3. Prihodi od nefinancijske imovine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7878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Ukupno gospodarska djelatnost: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7878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Sveukupno prihodi: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16.591,00</w:t>
            </w:r>
          </w:p>
        </w:tc>
        <w:tc>
          <w:tcPr>
            <w:tcW w:w="1241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120.000</w:t>
            </w: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,00</w:t>
            </w:r>
          </w:p>
        </w:tc>
      </w:tr>
      <w:tr>
        <w:trPr>
          <w:trHeight w:val="233" w:hRule="exact"/>
        </w:trPr>
        <w:tc>
          <w:tcPr>
            <w:tcW w:w="2104" w:type="dxa"/>
            <w:tcBorders>
              <w:lef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57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15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1241" w:type="dxa"/>
            <w:tcBorders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</w:tr>
      <w:tr>
        <w:trPr>
          <w:trHeight w:val="383" w:hRule="atLeast"/>
        </w:trPr>
        <w:tc>
          <w:tcPr>
            <w:tcW w:w="2104" w:type="dxa"/>
            <w:tcBorders>
              <w:lef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II.</w:t>
            </w:r>
          </w:p>
        </w:tc>
        <w:tc>
          <w:tcPr>
            <w:tcW w:w="8527" w:type="dxa"/>
            <w:gridSpan w:val="3"/>
            <w:tcBorders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RASHODI</w:t>
            </w:r>
          </w:p>
        </w:tc>
      </w:tr>
      <w:tr>
        <w:trPr>
          <w:trHeight w:val="233" w:hRule="exact"/>
        </w:trPr>
        <w:tc>
          <w:tcPr>
            <w:tcW w:w="2104" w:type="dxa"/>
            <w:tcBorders>
              <w:lef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57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r>
          </w:p>
        </w:tc>
        <w:tc>
          <w:tcPr>
            <w:tcW w:w="15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r>
          </w:p>
        </w:tc>
        <w:tc>
          <w:tcPr>
            <w:tcW w:w="1241" w:type="dxa"/>
            <w:tcBorders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</w:tr>
      <w:tr>
        <w:trPr>
          <w:trHeight w:val="370" w:hRule="atLeast"/>
        </w:trPr>
        <w:tc>
          <w:tcPr>
            <w:tcW w:w="10631" w:type="dxa"/>
            <w:gridSpan w:val="4"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 xml:space="preserve">                 </w:t>
            </w: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II. a) Troškovi osnovne djelatnosti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41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1. Rashodi za radnike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16.066,00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120.000</w:t>
            </w: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2. Materijalni troškovi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6.533,00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</w:t>
            </w: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3. Rashodi amortizacije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44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4. Financijski rashodi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5. Donacije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6. Ostali rashodi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768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47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7. Rashodi vezani uz fin. povezanih neprofitnih organizacija</w:t>
            </w:r>
          </w:p>
        </w:tc>
        <w:tc>
          <w:tcPr>
            <w:tcW w:w="1512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7878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Ukupno osnovna djelatnost: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22.797,00</w:t>
            </w:r>
          </w:p>
        </w:tc>
        <w:tc>
          <w:tcPr>
            <w:tcW w:w="1241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120.000</w:t>
            </w: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,00</w:t>
            </w:r>
          </w:p>
        </w:tc>
      </w:tr>
      <w:tr>
        <w:trPr>
          <w:trHeight w:val="287" w:hRule="exact"/>
        </w:trPr>
        <w:tc>
          <w:tcPr>
            <w:tcW w:w="2104" w:type="dxa"/>
            <w:tcBorders>
              <w:lef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57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15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  <w:tc>
          <w:tcPr>
            <w:tcW w:w="1241" w:type="dxa"/>
            <w:tcBorders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/>
            </w:r>
          </w:p>
        </w:tc>
      </w:tr>
      <w:tr>
        <w:trPr>
          <w:trHeight w:val="383" w:hRule="atLeast"/>
        </w:trPr>
        <w:tc>
          <w:tcPr>
            <w:tcW w:w="10631" w:type="dxa"/>
            <w:gridSpan w:val="4"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 xml:space="preserve">                 </w:t>
            </w: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II. b) Troškovi gospodarske djelatnosti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42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1. Materijalni troškovi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2. Rashodi amortizacije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2104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46</w:t>
            </w:r>
          </w:p>
        </w:tc>
        <w:tc>
          <w:tcPr>
            <w:tcW w:w="577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  <w:t>3. Ostali rashodi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7878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Ukupno gospodarska djelatnost: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  <w:tr>
        <w:trPr>
          <w:trHeight w:val="494" w:hRule="atLeast"/>
        </w:trPr>
        <w:tc>
          <w:tcPr>
            <w:tcW w:w="7878" w:type="dxa"/>
            <w:gridSpan w:val="2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Sveukupno rashodi:</w:t>
            </w:r>
          </w:p>
        </w:tc>
        <w:tc>
          <w:tcPr>
            <w:tcW w:w="1512" w:type="dxa"/>
            <w:tcBorders>
              <w:bottom w:val="double" w:sz="6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22.797,00</w:t>
            </w:r>
          </w:p>
        </w:tc>
        <w:tc>
          <w:tcPr>
            <w:tcW w:w="1241" w:type="dxa"/>
            <w:tcBorders>
              <w:bottom w:val="double" w:sz="6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120.000</w:t>
            </w: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,00</w:t>
            </w:r>
          </w:p>
        </w:tc>
      </w:tr>
      <w:tr>
        <w:trPr>
          <w:trHeight w:val="494" w:hRule="exact"/>
        </w:trPr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  <w:lang w:val="en-GB" w:eastAsia="en-GB"/>
              </w:rPr>
            </w:r>
          </w:p>
        </w:tc>
        <w:tc>
          <w:tcPr>
            <w:tcW w:w="577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r>
          </w:p>
        </w:tc>
        <w:tc>
          <w:tcPr>
            <w:tcW w:w="151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r>
          </w:p>
        </w:tc>
        <w:tc>
          <w:tcPr>
            <w:tcW w:w="124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r>
          </w:p>
        </w:tc>
      </w:tr>
      <w:tr>
        <w:trPr>
          <w:trHeight w:val="452" w:hRule="exact"/>
        </w:trPr>
        <w:tc>
          <w:tcPr>
            <w:tcW w:w="10631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sz w:val="20"/>
                <w:szCs w:val="20"/>
                <w:lang w:val="en-GB" w:eastAsia="en-GB"/>
              </w:rPr>
            </w:r>
          </w:p>
        </w:tc>
      </w:tr>
      <w:tr>
        <w:trPr>
          <w:trHeight w:val="494" w:hRule="atLeast"/>
        </w:trPr>
        <w:tc>
          <w:tcPr>
            <w:tcW w:w="7878" w:type="dxa"/>
            <w:gridSpan w:val="2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Ukupno prihodi:</w:t>
            </w:r>
          </w:p>
        </w:tc>
        <w:tc>
          <w:tcPr>
            <w:tcW w:w="1512" w:type="dxa"/>
            <w:tcBorders>
              <w:top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16.591,00</w:t>
            </w:r>
          </w:p>
        </w:tc>
        <w:tc>
          <w:tcPr>
            <w:tcW w:w="1241" w:type="dxa"/>
            <w:tcBorders>
              <w:top w:val="double" w:sz="6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120.000</w:t>
            </w: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,00</w:t>
            </w:r>
          </w:p>
        </w:tc>
      </w:tr>
      <w:tr>
        <w:trPr>
          <w:trHeight w:val="494" w:hRule="atLeast"/>
        </w:trPr>
        <w:tc>
          <w:tcPr>
            <w:tcW w:w="7878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Ukupno rashodi:</w:t>
            </w:r>
          </w:p>
        </w:tc>
        <w:tc>
          <w:tcPr>
            <w:tcW w:w="1512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22.797,00</w:t>
            </w:r>
          </w:p>
        </w:tc>
        <w:tc>
          <w:tcPr>
            <w:tcW w:w="1241" w:type="dxa"/>
            <w:tcBorders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120.000</w:t>
            </w: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,00</w:t>
            </w:r>
          </w:p>
        </w:tc>
      </w:tr>
      <w:tr>
        <w:trPr>
          <w:trHeight w:val="494" w:hRule="atLeast"/>
        </w:trPr>
        <w:tc>
          <w:tcPr>
            <w:tcW w:w="7878" w:type="dxa"/>
            <w:gridSpan w:val="2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b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 w:cs="Calibri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Višak prihoda i rashoda:</w:t>
            </w:r>
          </w:p>
        </w:tc>
        <w:tc>
          <w:tcPr>
            <w:tcW w:w="1512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6.388</w:t>
            </w: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,00</w:t>
            </w:r>
          </w:p>
        </w:tc>
        <w:tc>
          <w:tcPr>
            <w:tcW w:w="1241" w:type="dxa"/>
            <w:tcBorders>
              <w:top w:val="single" w:sz="4" w:space="0" w:color="000000"/>
              <w:bottom w:val="double" w:sz="6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rFonts w:eastAsia="Times New Roman" w:cs="Calibri" w:cstheme="minorHAnsi"/>
                <w:color w:val="000000"/>
                <w:sz w:val="16"/>
                <w:szCs w:val="16"/>
                <w:lang w:val="en-GB" w:eastAsia="en-GB"/>
              </w:rPr>
              <w:t>0,00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OBRAZLOŽENJE FINANCIJSKOG PLANA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bCs/>
          <w:color w:val="003C7D"/>
          <w:kern w:val="2"/>
          <w:sz w:val="24"/>
        </w:rPr>
      </w:pPr>
      <w:r>
        <w:rPr>
          <w:rFonts w:cs="Arial" w:ascii="Arial" w:hAnsi="Arial"/>
          <w:b/>
          <w:bCs/>
          <w:color w:val="003C7D"/>
          <w:kern w:val="2"/>
          <w:sz w:val="24"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bCs/>
          <w:color w:val="003C7D"/>
          <w:kern w:val="2"/>
          <w:sz w:val="24"/>
        </w:rPr>
      </w:pPr>
      <w:r>
        <w:rPr>
          <w:rFonts w:cs="Arial" w:ascii="Arial" w:hAnsi="Arial"/>
          <w:b/>
          <w:bCs/>
          <w:color w:val="003C7D"/>
          <w:kern w:val="2"/>
          <w:sz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>
          <w:rFonts w:cs="Arial" w:ascii="Arial" w:hAnsi="Arial"/>
          <w:bCs/>
          <w:kern w:val="2"/>
          <w:sz w:val="24"/>
        </w:rPr>
        <w:t>Udruga Bura Budućnosti Senj (BBS) je neprofitna organizacija koja se najvećim dijelom financira projektnim i programskim sredstvima iz državnog proračuna, iz proračuna jedinica lokalne i područne (regionalne) samouprave te EU izvora.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/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>
          <w:rFonts w:cs="Arial" w:ascii="Arial" w:hAnsi="Arial"/>
          <w:bCs/>
          <w:kern w:val="2"/>
          <w:sz w:val="24"/>
        </w:rPr>
        <w:t>Financijski plan Udruge sastavljen je na temelju predviđenih prihoda koje Udruga planira prikupiti apliciranim projektnim prijedlozima na natječaje ministarstava, EU fondova i lokalnih samouprava. Ishodište izračuna potrebnih sredstava po svakoj podskupini donesenog financijskog plana za 2026. godinu su projekcije rezultata prijavljenih projekata u 2025. godini. Planirani prihodi i rashodi za 2026. godinu prate izvršenje Strateškog plana te Operativnog plana za 2026. godinu.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/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>
          <w:rFonts w:cs="Arial" w:ascii="Arial" w:hAnsi="Arial"/>
          <w:bCs/>
          <w:kern w:val="2"/>
          <w:sz w:val="24"/>
        </w:rPr>
        <w:t>Teško je predvidjeti sve mogućnosti tijekom 2026. godine obzirom da se ne zna kad i gdje će biti objavljeni svi natječaji na koje će Udruga moći prijaviti svoje projektne aktivnosti. Udruga financira sve rashode isključivo iz proračuna projekata za koje dobije sredstva. S obzirom da nema registriranu gospodarsku djelatnost, nema niti mogućnosti financiranja bilo kakvih troškova mimo projektnih proračuna.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/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>
          <w:rFonts w:cs="Arial" w:ascii="Arial" w:hAnsi="Arial"/>
          <w:bCs/>
          <w:kern w:val="2"/>
          <w:sz w:val="24"/>
        </w:rPr>
        <w:t>Rashodi za radnike planirani su sukladno broju zaposlenih djelatnika/ica koji su angažirani na provedbi aktualnih projekata, a materijalni rashodi obuhvaćaju troškove izravno vezane uz projektne aktivnosti. Bura Budućnosti Senj se neće tijekom 2026. godine kratkoročno zaduživati niti davati kratkoročne zajmove.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/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>
          <w:rFonts w:cs="Arial" w:ascii="Arial" w:hAnsi="Arial"/>
          <w:bCs/>
          <w:kern w:val="2"/>
          <w:sz w:val="24"/>
        </w:rPr>
        <w:t>Posebno je važno istaknuti da je Udruga uspješno prošla administrativnu provjeru za EU projekt financiran iz Europskog socijalnog fonda te očekuje uskoro početak provedbe projekta u 2026. godini. Navedeno će značajno povećati planirane prihode i rashode u odnosu na prikazane procjene u ovom financijskom planu. Kada budu poznati konačni uvjeti i dinamika provedbe projekta, plan će se revidirati, o čemu će odluku donijeti Skupština Udruge.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/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/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/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/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>
          <w:rFonts w:cs="Arial" w:ascii="Arial" w:hAnsi="Arial"/>
          <w:bCs/>
          <w:kern w:val="2"/>
          <w:sz w:val="24"/>
        </w:rPr>
        <w:t>U Senju, 10.12.2025. godine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/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/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>
          <w:rFonts w:cs="Arial" w:ascii="Arial" w:hAnsi="Arial"/>
          <w:bCs/>
          <w:kern w:val="2"/>
          <w:sz w:val="24"/>
        </w:rPr>
        <w:t>__________________________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/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>
          <w:rFonts w:cs="Arial" w:ascii="Arial" w:hAnsi="Arial"/>
          <w:bCs/>
          <w:kern w:val="2"/>
          <w:sz w:val="24"/>
        </w:rPr>
        <w:t>Petar Milić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kern w:val="2"/>
          <w:sz w:val="24"/>
        </w:rPr>
      </w:pPr>
      <w:r>
        <w:rPr>
          <w:rFonts w:cs="Arial" w:ascii="Arial" w:hAnsi="Arial"/>
          <w:bCs/>
          <w:kern w:val="2"/>
          <w:sz w:val="24"/>
        </w:rPr>
        <w:t>Predsjednik Udruge</w:t>
      </w:r>
    </w:p>
    <w:p>
      <w:pPr>
        <w:pStyle w:val="Normal"/>
        <w:spacing w:before="0" w:after="0"/>
        <w:jc w:val="center"/>
        <w:rPr>
          <w:rFonts w:ascii="Arial" w:hAnsi="Arial" w:cs="Arial"/>
          <w:bCs/>
          <w:kern w:val="2"/>
          <w:sz w:val="24"/>
        </w:rPr>
      </w:pPr>
      <w:r>
        <w:rPr>
          <w:rFonts w:cs="Arial" w:ascii="Arial" w:hAnsi="Arial"/>
          <w:bCs/>
          <w:kern w:val="2"/>
          <w:sz w:val="24"/>
        </w:rPr>
        <w:t>M.P.</w:t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708" w:top="1440" w:footer="708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EC Square Sans Pro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odnoje"/>
      <w:jc w:val="center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Grid"/>
      <w:tblW w:w="9153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3817"/>
      <w:gridCol w:w="5335"/>
    </w:tblGrid>
    <w:tr>
      <w:trPr/>
      <w:tc>
        <w:tcPr>
          <w:tcW w:w="381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Zaglavlje"/>
            <w:widowControl/>
            <w:spacing w:before="0" w:after="0"/>
            <w:jc w:val="right"/>
            <w:rPr>
              <w:rFonts w:ascii="Calibri" w:hAnsi="Calibri" w:eastAsia="Calibri" w:cs=""/>
              <w:kern w:val="0"/>
              <w:sz w:val="22"/>
              <w:szCs w:val="22"/>
              <w:lang w:val="hr-H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hr-HR" w:eastAsia="en-US" w:bidi="ar-SA"/>
            </w:rPr>
            <w:drawing>
              <wp:inline distT="0" distB="0" distL="0" distR="0">
                <wp:extent cx="2287905" cy="967740"/>
                <wp:effectExtent l="0" t="0" r="0" b="0"/>
                <wp:docPr id="1" name="Pictur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7905" cy="967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3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Zaglavlje"/>
            <w:widowControl/>
            <w:spacing w:before="0" w:after="0"/>
            <w:jc w:val="right"/>
            <w:rPr>
              <w:b/>
              <w:b/>
              <w:bCs/>
              <w:sz w:val="28"/>
              <w:szCs w:val="28"/>
            </w:rPr>
          </w:pPr>
          <w:r>
            <w:rPr>
              <w:rFonts w:eastAsia="Calibri" w:cs=""/>
              <w:b/>
              <w:bCs/>
              <w:kern w:val="0"/>
              <w:sz w:val="28"/>
              <w:szCs w:val="28"/>
              <w:lang w:val="hr-HR" w:eastAsia="en-US" w:bidi="ar-SA"/>
            </w:rPr>
            <w:t>Bura Budućnost Senj</w:t>
          </w:r>
        </w:p>
        <w:p>
          <w:pPr>
            <w:pStyle w:val="Zaglavlje"/>
            <w:widowControl/>
            <w:spacing w:before="0" w:after="0"/>
            <w:jc w:val="right"/>
            <w:rPr>
              <w:b/>
              <w:b/>
              <w:bCs/>
              <w:sz w:val="28"/>
              <w:szCs w:val="28"/>
            </w:rPr>
          </w:pPr>
          <w:r>
            <w:rPr>
              <w:rFonts w:eastAsia="Calibri" w:cs=""/>
              <w:b/>
              <w:bCs/>
              <w:kern w:val="0"/>
              <w:sz w:val="22"/>
              <w:szCs w:val="22"/>
              <w:lang w:val="hr-HR" w:eastAsia="en-US" w:bidi="ar-SA"/>
            </w:rPr>
          </w:r>
        </w:p>
        <w:p>
          <w:pPr>
            <w:pStyle w:val="Zaglavlje"/>
            <w:widowControl/>
            <w:spacing w:before="0" w:after="0"/>
            <w:jc w:val="right"/>
            <w:rPr>
              <w:rFonts w:cs="Calibri" w:cstheme="minorHAnsi"/>
              <w:sz w:val="24"/>
              <w:szCs w:val="24"/>
              <w:shd w:fill="FFFFFF" w:val="clear"/>
            </w:rPr>
          </w:pPr>
          <w:r>
            <w:rPr>
              <w:rFonts w:eastAsia="Calibri" w:cs="Calibri" w:cstheme="minorHAnsi"/>
              <w:kern w:val="0"/>
              <w:sz w:val="24"/>
              <w:szCs w:val="24"/>
              <w:shd w:fill="FFFFFF" w:val="clear"/>
              <w:lang w:val="hr-HR" w:eastAsia="en-US" w:bidi="ar-SA"/>
            </w:rPr>
            <w:t>Stara cesta 43</w:t>
          </w:r>
        </w:p>
        <w:p>
          <w:pPr>
            <w:pStyle w:val="Zaglavlje"/>
            <w:widowControl/>
            <w:spacing w:before="0" w:after="0"/>
            <w:jc w:val="right"/>
            <w:rPr>
              <w:sz w:val="24"/>
              <w:szCs w:val="24"/>
            </w:rPr>
          </w:pPr>
          <w:r>
            <w:rPr>
              <w:rFonts w:eastAsia="Calibri" w:cs="Calibri" w:cstheme="minorHAnsi"/>
              <w:kern w:val="0"/>
              <w:sz w:val="24"/>
              <w:szCs w:val="24"/>
              <w:shd w:fill="FFFFFF" w:val="clear"/>
              <w:lang w:val="hr-HR" w:eastAsia="en-US" w:bidi="ar-SA"/>
            </w:rPr>
            <w:t xml:space="preserve"> </w:t>
          </w:r>
          <w:r>
            <w:rPr>
              <w:rFonts w:eastAsia="Calibri" w:cs="Calibri" w:cstheme="minorHAnsi"/>
              <w:kern w:val="0"/>
              <w:sz w:val="24"/>
              <w:szCs w:val="24"/>
              <w:shd w:fill="FFFFFF" w:val="clear"/>
              <w:lang w:val="hr-HR" w:eastAsia="en-US" w:bidi="ar-SA"/>
            </w:rPr>
            <w:t>Senj 53270</w:t>
          </w:r>
        </w:p>
        <w:p>
          <w:pPr>
            <w:pStyle w:val="Zaglavlje"/>
            <w:widowControl/>
            <w:spacing w:before="0" w:after="0"/>
            <w:jc w:val="right"/>
            <w:rPr>
              <w:sz w:val="28"/>
              <w:szCs w:val="28"/>
            </w:rPr>
          </w:pPr>
          <w:r>
            <w:rPr>
              <w:rFonts w:eastAsia="Calibri" w:cs=""/>
              <w:kern w:val="0"/>
              <w:sz w:val="24"/>
              <w:szCs w:val="24"/>
              <w:lang w:val="hr-HR" w:eastAsia="en-US" w:bidi="ar-SA"/>
            </w:rPr>
            <w:t>e-mail: info.burabuducnosti@gmail.com</w:t>
          </w:r>
        </w:p>
      </w:tc>
    </w:tr>
    <w:tr>
      <w:trPr/>
      <w:tc>
        <w:tcPr>
          <w:tcW w:w="381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Zaglavlje"/>
            <w:widowControl/>
            <w:spacing w:before="0" w:after="0"/>
            <w:jc w:val="left"/>
            <w:rPr>
              <w:lang w:eastAsia="hr-HR"/>
            </w:rPr>
          </w:pPr>
          <w:r>
            <w:rPr>
              <w:rFonts w:eastAsia="Calibri" w:cs=""/>
              <w:kern w:val="0"/>
              <w:sz w:val="22"/>
              <w:szCs w:val="22"/>
              <w:lang w:val="hr-HR" w:eastAsia="en-US" w:bidi="ar-SA"/>
            </w:rPr>
          </w:r>
        </w:p>
      </w:tc>
      <w:tc>
        <w:tcPr>
          <w:tcW w:w="533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Zaglavlje"/>
            <w:widowControl/>
            <w:spacing w:before="0" w:after="0"/>
            <w:jc w:val="left"/>
            <w:rPr>
              <w:b/>
              <w:b/>
              <w:bCs/>
              <w:sz w:val="28"/>
              <w:szCs w:val="28"/>
            </w:rPr>
          </w:pPr>
          <w:r>
            <w:rPr>
              <w:rFonts w:eastAsia="Calibri" w:cs=""/>
              <w:b/>
              <w:bCs/>
              <w:kern w:val="0"/>
              <w:sz w:val="22"/>
              <w:szCs w:val="22"/>
              <w:lang w:val="hr-HR" w:eastAsia="en-US" w:bidi="ar-SA"/>
            </w:rPr>
          </w:r>
        </w:p>
      </w:tc>
    </w:tr>
  </w:tbl>
  <w:p>
    <w:pPr>
      <w:pStyle w:val="Zaglavlj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e1ec7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454abb"/>
    <w:rPr/>
  </w:style>
  <w:style w:type="character" w:styleId="FooterChar" w:customStyle="1">
    <w:name w:val="Footer Char"/>
    <w:basedOn w:val="DefaultParagraphFont"/>
    <w:uiPriority w:val="99"/>
    <w:qFormat/>
    <w:rsid w:val="00454abb"/>
    <w:rPr/>
  </w:style>
  <w:style w:type="character" w:styleId="Internetskapoveznica">
    <w:name w:val="Internetska poveznica"/>
    <w:basedOn w:val="DefaultParagraphFont"/>
    <w:uiPriority w:val="99"/>
    <w:unhideWhenUsed/>
    <w:rsid w:val="00454abb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454abb"/>
    <w:rPr>
      <w:color w:val="605E5C"/>
      <w:shd w:fill="E1DFDD" w:val="clear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45228"/>
    <w:rPr>
      <w:rFonts w:ascii="Tahoma" w:hAnsi="Tahoma" w:cs="Tahoma"/>
      <w:sz w:val="16"/>
      <w:szCs w:val="16"/>
      <w:lang w:val="en-US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ohit Devanagari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unhideWhenUsed/>
    <w:rsid w:val="00454abb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unhideWhenUsed/>
    <w:rsid w:val="00454abb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f7208"/>
    <w:pPr>
      <w:spacing w:before="0" w:after="160"/>
      <w:ind w:left="720" w:hanging="0"/>
      <w:contextualSpacing/>
    </w:pPr>
    <w:rPr/>
  </w:style>
  <w:style w:type="paragraph" w:styleId="Default" w:customStyle="1">
    <w:name w:val="Default"/>
    <w:qFormat/>
    <w:rsid w:val="008a26ab"/>
    <w:pPr>
      <w:widowControl/>
      <w:bidi w:val="0"/>
      <w:spacing w:lineRule="auto" w:line="240" w:before="0" w:after="0"/>
      <w:jc w:val="left"/>
    </w:pPr>
    <w:rPr>
      <w:rFonts w:ascii="EC Square Sans Pro" w:hAnsi="EC Square Sans Pro" w:cs="EC Square Sans Pro" w:eastAsia="Calibri"/>
      <w:color w:val="000000"/>
      <w:kern w:val="0"/>
      <w:sz w:val="24"/>
      <w:szCs w:val="24"/>
      <w:lang w:val="en-US" w:eastAsia="en-US" w:bidi="ar-SA"/>
    </w:rPr>
  </w:style>
  <w:style w:type="paragraph" w:styleId="M4099919778007996286msolistparagraph" w:customStyle="1">
    <w:name w:val="m_-4099919778007996286msolistparagraph"/>
    <w:basedOn w:val="Normal"/>
    <w:qFormat/>
    <w:rsid w:val="00e95bb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4522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adrajitablice">
    <w:name w:val="Sadržaji tablice"/>
    <w:basedOn w:val="Normal"/>
    <w:qFormat/>
    <w:pPr>
      <w:widowControl w:val="false"/>
      <w:suppressLineNumbers/>
    </w:pPr>
    <w:rPr/>
  </w:style>
  <w:style w:type="paragraph" w:styleId="Naslovtablice">
    <w:name w:val="Naslov tablice"/>
    <w:basedOn w:val="Sadrajitablice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54a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C35CB-30E2-4445-AF04-AEDC01402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LibreOffice/7.3.7.2$Linux_X86_64 LibreOffice_project/30$Build-2</Application>
  <AppVersion>15.0000</AppVersion>
  <Pages>4</Pages>
  <Words>497</Words>
  <Characters>3036</Characters>
  <CharactersWithSpaces>3471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2022-08-04T12:47:00Z</dcterms:created>
  <dc:creator>Bura Budućnosti Senj</dc:creator>
  <dc:description/>
  <dc:language>hr-HR</dc:language>
  <cp:lastModifiedBy>Bura Budućnosti Senj</cp:lastModifiedBy>
  <cp:lastPrinted>2022-07-13T10:12:00Z</cp:lastPrinted>
  <dcterms:modified xsi:type="dcterms:W3CDTF">2026-05-12T14:27:13Z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